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446E" w14:textId="1E0140EA" w:rsidR="000F3E63" w:rsidRPr="002D29E8" w:rsidRDefault="000F3E63" w:rsidP="002D29E8">
      <w:pPr>
        <w:spacing w:line="276" w:lineRule="auto"/>
        <w:jc w:val="center"/>
        <w:rPr>
          <w:rFonts w:ascii="Verdana" w:eastAsia="Dotum" w:hAnsi="Verdana" w:cstheme="minorHAnsi"/>
          <w:b/>
          <w:bCs/>
          <w:color w:val="000000"/>
          <w:spacing w:val="-2"/>
          <w:sz w:val="28"/>
          <w:szCs w:val="28"/>
          <w:shd w:val="clear" w:color="auto" w:fill="FFFFFF"/>
        </w:rPr>
      </w:pPr>
      <w:bookmarkStart w:id="0" w:name="_GoBack"/>
      <w:bookmarkEnd w:id="0"/>
      <w:r w:rsidRPr="002D29E8">
        <w:rPr>
          <w:rFonts w:ascii="Verdana" w:eastAsia="Dotum" w:hAnsi="Verdana" w:cstheme="minorHAnsi"/>
          <w:b/>
          <w:bCs/>
          <w:color w:val="000000"/>
          <w:spacing w:val="-2"/>
          <w:sz w:val="28"/>
          <w:szCs w:val="28"/>
          <w:shd w:val="clear" w:color="auto" w:fill="FFFFFF"/>
        </w:rPr>
        <w:t>Global Internship Program</w:t>
      </w:r>
    </w:p>
    <w:p w14:paraId="574335B0" w14:textId="77777777" w:rsidR="002D29E8" w:rsidRPr="002D29E8" w:rsidRDefault="002D29E8" w:rsidP="002D29E8">
      <w:pPr>
        <w:spacing w:line="276" w:lineRule="auto"/>
        <w:jc w:val="center"/>
        <w:rPr>
          <w:rFonts w:ascii="Verdana" w:eastAsia="Dotum" w:hAnsi="Verdana" w:cstheme="minorHAnsi"/>
          <w:b/>
          <w:bCs/>
          <w:color w:val="000000"/>
          <w:spacing w:val="-2"/>
          <w:shd w:val="clear" w:color="auto" w:fill="FFFFFF"/>
        </w:rPr>
      </w:pPr>
    </w:p>
    <w:p w14:paraId="20B1B5E2" w14:textId="66CDDF60" w:rsidR="006A0E73" w:rsidRPr="00421330" w:rsidRDefault="006A0E73" w:rsidP="002D29E8">
      <w:pPr>
        <w:spacing w:after="0" w:line="276" w:lineRule="auto"/>
        <w:rPr>
          <w:rFonts w:ascii="Verdana" w:hAnsi="Verdana"/>
          <w:sz w:val="20"/>
          <w:szCs w:val="20"/>
        </w:rPr>
      </w:pPr>
      <w:r w:rsidRPr="00421330">
        <w:rPr>
          <w:rFonts w:ascii="Verdana" w:hAnsi="Verdana" w:cstheme="minorHAnsi"/>
          <w:b/>
          <w:sz w:val="20"/>
          <w:szCs w:val="20"/>
        </w:rPr>
        <w:t>Company Description</w:t>
      </w:r>
    </w:p>
    <w:tbl>
      <w:tblPr>
        <w:tblW w:w="936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2552"/>
        <w:gridCol w:w="2315"/>
        <w:gridCol w:w="2316"/>
      </w:tblGrid>
      <w:tr w:rsidR="006A0E73" w:rsidRPr="00421330" w14:paraId="479D886F" w14:textId="77777777" w:rsidTr="006A0E73">
        <w:trPr>
          <w:trHeight w:val="334"/>
        </w:trPr>
        <w:tc>
          <w:tcPr>
            <w:tcW w:w="2178" w:type="dxa"/>
            <w:vMerge w:val="restart"/>
            <w:shd w:val="clear" w:color="auto" w:fill="FFFFFF" w:themeFill="background1"/>
            <w:vAlign w:val="center"/>
          </w:tcPr>
          <w:p w14:paraId="5480237B" w14:textId="77777777" w:rsidR="006A0E73" w:rsidRPr="00421330" w:rsidRDefault="006A0E73" w:rsidP="00925CBC">
            <w:pPr>
              <w:spacing w:after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421330">
              <w:rPr>
                <w:rFonts w:ascii="Verdana" w:hAnsi="Verdana" w:cstheme="minorHAnsi"/>
                <w:noProof/>
                <w:sz w:val="20"/>
                <w:szCs w:val="20"/>
              </w:rPr>
              <w:drawing>
                <wp:inline distT="0" distB="0" distL="0" distR="0" wp14:anchorId="77886F4F" wp14:editId="32B67F0C">
                  <wp:extent cx="708660" cy="64423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84" cy="65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14:paraId="52DE0990" w14:textId="037F9D32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631" w:type="dxa"/>
            <w:gridSpan w:val="2"/>
            <w:shd w:val="clear" w:color="auto" w:fill="auto"/>
            <w:noWrap/>
            <w:vAlign w:val="center"/>
          </w:tcPr>
          <w:p w14:paraId="2B21B806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sz w:val="20"/>
                <w:szCs w:val="20"/>
              </w:rPr>
              <w:t>KK Fund</w:t>
            </w:r>
          </w:p>
        </w:tc>
      </w:tr>
      <w:tr w:rsidR="006A0E73" w:rsidRPr="00421330" w14:paraId="18987C7F" w14:textId="77777777" w:rsidTr="006A0E73">
        <w:trPr>
          <w:trHeight w:val="334"/>
        </w:trPr>
        <w:tc>
          <w:tcPr>
            <w:tcW w:w="2178" w:type="dxa"/>
            <w:vMerge/>
            <w:shd w:val="clear" w:color="auto" w:fill="FFFFFF" w:themeFill="background1"/>
            <w:vAlign w:val="center"/>
          </w:tcPr>
          <w:p w14:paraId="0187E464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5551908A" w14:textId="51BE3013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14:paraId="3522F186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sz w:val="20"/>
                <w:szCs w:val="20"/>
              </w:rPr>
              <w:t>info@kkfund.co</w:t>
            </w:r>
          </w:p>
        </w:tc>
      </w:tr>
      <w:tr w:rsidR="006A0E73" w:rsidRPr="00421330" w14:paraId="0FCE9914" w14:textId="77777777" w:rsidTr="006A0E73">
        <w:trPr>
          <w:trHeight w:val="334"/>
        </w:trPr>
        <w:tc>
          <w:tcPr>
            <w:tcW w:w="2178" w:type="dxa"/>
            <w:vMerge/>
            <w:shd w:val="clear" w:color="auto" w:fill="FFFFFF" w:themeFill="background1"/>
            <w:vAlign w:val="center"/>
          </w:tcPr>
          <w:p w14:paraId="2CECCD4F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138D19E2" w14:textId="0847297D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14:paraId="27269FD6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sz w:val="20"/>
                <w:szCs w:val="20"/>
              </w:rPr>
              <w:t>http://kkfund.co/</w:t>
            </w:r>
          </w:p>
        </w:tc>
      </w:tr>
      <w:tr w:rsidR="006A0E73" w:rsidRPr="00421330" w14:paraId="076ECEFE" w14:textId="77777777" w:rsidTr="006A0E73">
        <w:trPr>
          <w:trHeight w:val="334"/>
        </w:trPr>
        <w:tc>
          <w:tcPr>
            <w:tcW w:w="2178" w:type="dxa"/>
            <w:vMerge/>
            <w:shd w:val="clear" w:color="auto" w:fill="FFFFFF" w:themeFill="background1"/>
            <w:vAlign w:val="center"/>
          </w:tcPr>
          <w:p w14:paraId="1B89FECD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800B878" w14:textId="40D8543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Company Address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14:paraId="6EB19DB2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sz w:val="20"/>
                <w:szCs w:val="20"/>
              </w:rPr>
              <w:t>9 Raffles Place #26-01, Republic Plaza,</w:t>
            </w:r>
          </w:p>
          <w:p w14:paraId="2EFBA828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sz w:val="20"/>
                <w:szCs w:val="20"/>
              </w:rPr>
              <w:t>Singapore 048619</w:t>
            </w:r>
          </w:p>
        </w:tc>
      </w:tr>
      <w:tr w:rsidR="006A0E73" w:rsidRPr="00421330" w14:paraId="2EACCEBC" w14:textId="77777777" w:rsidTr="006A0E73">
        <w:trPr>
          <w:trHeight w:val="334"/>
        </w:trPr>
        <w:tc>
          <w:tcPr>
            <w:tcW w:w="2178" w:type="dxa"/>
            <w:shd w:val="clear" w:color="auto" w:fill="FFFFFF" w:themeFill="background1"/>
            <w:vAlign w:val="center"/>
          </w:tcPr>
          <w:p w14:paraId="41078C30" w14:textId="46238B8F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Founded in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14:paraId="5999E3D4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7FC62669" w14:textId="5CADD506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b/>
                <w:bCs/>
                <w:sz w:val="20"/>
                <w:szCs w:val="20"/>
              </w:rPr>
              <w:t>No. of Employees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FBC87A6" w14:textId="77777777" w:rsidR="006A0E73" w:rsidRPr="00421330" w:rsidRDefault="006A0E73" w:rsidP="00925CBC">
            <w:pPr>
              <w:spacing w:after="0" w:line="276" w:lineRule="auto"/>
              <w:rPr>
                <w:rFonts w:ascii="Verdana" w:eastAsia="Malgun Gothic" w:hAnsi="Verdana" w:cstheme="minorHAnsi"/>
                <w:sz w:val="20"/>
                <w:szCs w:val="20"/>
              </w:rPr>
            </w:pPr>
            <w:r w:rsidRPr="00421330">
              <w:rPr>
                <w:rFonts w:ascii="Verdana" w:eastAsia="Malgun Gothic" w:hAnsi="Verdana" w:cstheme="minorHAnsi"/>
                <w:sz w:val="20"/>
                <w:szCs w:val="20"/>
              </w:rPr>
              <w:t>1-10</w:t>
            </w:r>
          </w:p>
        </w:tc>
      </w:tr>
    </w:tbl>
    <w:p w14:paraId="4E73A795" w14:textId="79839589" w:rsidR="00C3620F" w:rsidRPr="002D29E8" w:rsidRDefault="006A0E73" w:rsidP="00683CC4">
      <w:pPr>
        <w:spacing w:before="240" w:line="276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Founded in 2015, </w:t>
      </w:r>
      <w:r w:rsidR="00683CC4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KK Fund is an early-stage, Southeast Asia focused venture capital fund backing solid founders in solving fundamental problems facing Southeast Asia. KK Fund is actively seeking to invest in Korean </w:t>
      </w:r>
      <w:proofErr w:type="spellStart"/>
      <w:r w:rsidR="00683CC4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startups</w:t>
      </w:r>
      <w:proofErr w:type="spellEnd"/>
      <w:r w:rsidR="00683CC4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with expansion plans into Southeast Asia.</w:t>
      </w:r>
    </w:p>
    <w:p w14:paraId="56BE48C5" w14:textId="60ABA705" w:rsidR="00925CBC" w:rsidRPr="002D29E8" w:rsidRDefault="00925CBC" w:rsidP="00C3620F">
      <w:pPr>
        <w:spacing w:line="276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KK Fund is currently supporting 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the Global Accelerating Program from Korean government agencies and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Universit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ies by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mentor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ing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startups</w:t>
      </w:r>
      <w:proofErr w:type="spellEnd"/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and assist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ing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their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international expansion to Southeast Asia.</w:t>
      </w:r>
    </w:p>
    <w:p w14:paraId="5CFA8FF2" w14:textId="213934FC" w:rsidR="00925CBC" w:rsidRPr="002D29E8" w:rsidRDefault="00925CBC" w:rsidP="00C3620F">
      <w:pPr>
        <w:spacing w:line="276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In addition, we work with Singapore Universities such as 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National University of Singapore (NUS), Nanyang Technological University (NTU) and 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Singapore Management University (SMU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), 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provid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ing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similar support as above.</w:t>
      </w:r>
    </w:p>
    <w:p w14:paraId="1A92FD25" w14:textId="3A985E43" w:rsidR="00E5282F" w:rsidRPr="002D29E8" w:rsidRDefault="00E5282F" w:rsidP="00C3620F">
      <w:pPr>
        <w:spacing w:line="276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Please find the details of the Internship Program </w:t>
      </w:r>
      <w:r w:rsidR="00875E90"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>at</w:t>
      </w:r>
      <w:r w:rsidRPr="002D29E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KK Fund below.</w:t>
      </w:r>
    </w:p>
    <w:p w14:paraId="4436CA88" w14:textId="39A30CAB" w:rsidR="006A0E73" w:rsidRPr="002D29E8" w:rsidRDefault="006A0E73" w:rsidP="00C3620F">
      <w:pPr>
        <w:spacing w:before="240" w:after="0" w:line="276" w:lineRule="auto"/>
        <w:rPr>
          <w:rFonts w:ascii="Verdana" w:hAnsi="Verdana"/>
          <w:sz w:val="20"/>
          <w:szCs w:val="20"/>
        </w:rPr>
      </w:pPr>
      <w:r w:rsidRPr="002D29E8">
        <w:rPr>
          <w:rFonts w:ascii="Verdana" w:hAnsi="Verdana" w:cstheme="minorHAnsi"/>
          <w:b/>
          <w:sz w:val="20"/>
          <w:szCs w:val="20"/>
        </w:rPr>
        <w:t>Intern's duties and assignments</w:t>
      </w:r>
    </w:p>
    <w:p w14:paraId="29575EAD" w14:textId="06E887EB" w:rsidR="00BA306B" w:rsidRPr="002D29E8" w:rsidRDefault="00BA306B" w:rsidP="00C3620F">
      <w:pPr>
        <w:spacing w:line="276" w:lineRule="auto"/>
        <w:rPr>
          <w:rFonts w:ascii="Verdana" w:hAnsi="Verdana"/>
          <w:sz w:val="20"/>
          <w:szCs w:val="20"/>
        </w:rPr>
      </w:pPr>
      <w:r w:rsidRPr="002D29E8">
        <w:rPr>
          <w:rFonts w:ascii="Verdana" w:hAnsi="Verdana"/>
          <w:sz w:val="20"/>
          <w:szCs w:val="20"/>
        </w:rPr>
        <w:t xml:space="preserve">Global Interns will </w:t>
      </w:r>
      <w:r w:rsidR="00875E90" w:rsidRPr="002D29E8">
        <w:rPr>
          <w:rFonts w:ascii="Verdana" w:hAnsi="Verdana"/>
          <w:sz w:val="20"/>
          <w:szCs w:val="20"/>
        </w:rPr>
        <w:t xml:space="preserve">be involved in actual </w:t>
      </w:r>
      <w:r w:rsidR="002D29E8" w:rsidRPr="002D29E8">
        <w:rPr>
          <w:rFonts w:ascii="Verdana" w:hAnsi="Verdana"/>
          <w:sz w:val="20"/>
          <w:szCs w:val="20"/>
        </w:rPr>
        <w:t>investment workflow including but not limited to the following</w:t>
      </w:r>
      <w:r w:rsidR="00E23A71">
        <w:rPr>
          <w:rFonts w:ascii="Verdana" w:hAnsi="Verdana"/>
          <w:sz w:val="20"/>
          <w:szCs w:val="20"/>
        </w:rPr>
        <w:t>:</w:t>
      </w:r>
    </w:p>
    <w:p w14:paraId="0B728646" w14:textId="698DF53E" w:rsidR="002D29E8" w:rsidRPr="002D29E8" w:rsidRDefault="002D29E8" w:rsidP="002D29E8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0"/>
          <w:szCs w:val="20"/>
        </w:rPr>
      </w:pPr>
      <w:r w:rsidRPr="002D29E8">
        <w:rPr>
          <w:rFonts w:ascii="Verdana" w:hAnsi="Verdana"/>
          <w:sz w:val="20"/>
          <w:szCs w:val="20"/>
        </w:rPr>
        <w:t>Evaluate investment opportunities by conducting fundamental analysis and engaging with the investment team</w:t>
      </w:r>
    </w:p>
    <w:p w14:paraId="50AAA0F7" w14:textId="77777777" w:rsidR="002D29E8" w:rsidRDefault="002D29E8" w:rsidP="00C3620F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0"/>
          <w:szCs w:val="20"/>
        </w:rPr>
      </w:pPr>
      <w:r w:rsidRPr="002D29E8">
        <w:rPr>
          <w:rFonts w:ascii="Verdana" w:hAnsi="Verdana"/>
          <w:sz w:val="20"/>
          <w:szCs w:val="20"/>
        </w:rPr>
        <w:t>Conduct research and interpret data to support the investment process</w:t>
      </w:r>
    </w:p>
    <w:p w14:paraId="7F55C1F0" w14:textId="21D06910" w:rsidR="00925CBC" w:rsidRPr="002D29E8" w:rsidRDefault="006A0E73" w:rsidP="00C3620F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0"/>
          <w:szCs w:val="20"/>
        </w:rPr>
      </w:pPr>
      <w:r w:rsidRPr="002D29E8">
        <w:rPr>
          <w:rFonts w:ascii="Verdana" w:hAnsi="Verdana"/>
          <w:sz w:val="20"/>
          <w:szCs w:val="20"/>
        </w:rPr>
        <w:t>Perform industry research and analysis on</w:t>
      </w:r>
      <w:r w:rsidR="00C83ABB">
        <w:rPr>
          <w:rFonts w:ascii="Verdana" w:hAnsi="Verdana"/>
          <w:sz w:val="20"/>
          <w:szCs w:val="20"/>
        </w:rPr>
        <w:t xml:space="preserve"> </w:t>
      </w:r>
      <w:r w:rsidRPr="002D29E8">
        <w:rPr>
          <w:rFonts w:ascii="Verdana" w:hAnsi="Verdana"/>
          <w:sz w:val="20"/>
          <w:szCs w:val="20"/>
        </w:rPr>
        <w:t xml:space="preserve">Korea’s tech </w:t>
      </w:r>
      <w:proofErr w:type="spellStart"/>
      <w:r w:rsidRPr="002D29E8">
        <w:rPr>
          <w:rFonts w:ascii="Verdana" w:hAnsi="Verdana"/>
          <w:sz w:val="20"/>
          <w:szCs w:val="20"/>
        </w:rPr>
        <w:t>startup</w:t>
      </w:r>
      <w:proofErr w:type="spellEnd"/>
      <w:r w:rsidRPr="002D29E8">
        <w:rPr>
          <w:rFonts w:ascii="Verdana" w:hAnsi="Verdana"/>
          <w:sz w:val="20"/>
          <w:szCs w:val="20"/>
        </w:rPr>
        <w:t xml:space="preserve"> ecosystem</w:t>
      </w:r>
      <w:r w:rsidR="00925CBC" w:rsidRPr="002D29E8">
        <w:rPr>
          <w:rFonts w:ascii="Verdana" w:hAnsi="Verdana"/>
          <w:sz w:val="20"/>
          <w:szCs w:val="20"/>
        </w:rPr>
        <w:t xml:space="preserve">, Korean </w:t>
      </w:r>
      <w:proofErr w:type="spellStart"/>
      <w:r w:rsidR="00925CBC" w:rsidRPr="002D29E8">
        <w:rPr>
          <w:rFonts w:ascii="Verdana" w:hAnsi="Verdana"/>
          <w:sz w:val="20"/>
          <w:szCs w:val="20"/>
        </w:rPr>
        <w:t>Startups</w:t>
      </w:r>
      <w:proofErr w:type="spellEnd"/>
      <w:r w:rsidR="00925CBC" w:rsidRPr="002D29E8">
        <w:rPr>
          <w:rFonts w:ascii="Verdana" w:hAnsi="Verdana"/>
          <w:sz w:val="20"/>
          <w:szCs w:val="20"/>
        </w:rPr>
        <w:t xml:space="preserve"> in SEA, </w:t>
      </w:r>
      <w:r w:rsidR="005E011F" w:rsidRPr="002D29E8">
        <w:rPr>
          <w:rFonts w:ascii="Verdana" w:hAnsi="Verdana"/>
          <w:sz w:val="20"/>
          <w:szCs w:val="20"/>
        </w:rPr>
        <w:t xml:space="preserve">SEA </w:t>
      </w:r>
      <w:r w:rsidR="00925CBC" w:rsidRPr="002D29E8">
        <w:rPr>
          <w:rFonts w:ascii="Verdana" w:hAnsi="Verdana"/>
          <w:sz w:val="20"/>
          <w:szCs w:val="20"/>
        </w:rPr>
        <w:t>eSports</w:t>
      </w:r>
      <w:r w:rsidR="005E011F" w:rsidRPr="002D29E8">
        <w:rPr>
          <w:rFonts w:ascii="Verdana" w:hAnsi="Verdana"/>
          <w:sz w:val="20"/>
          <w:szCs w:val="20"/>
        </w:rPr>
        <w:t xml:space="preserve"> industry,</w:t>
      </w:r>
      <w:r w:rsidR="00925CBC" w:rsidRPr="002D29E8">
        <w:rPr>
          <w:rFonts w:ascii="Verdana" w:hAnsi="Verdana"/>
          <w:sz w:val="20"/>
          <w:szCs w:val="20"/>
        </w:rPr>
        <w:t xml:space="preserve"> etc.</w:t>
      </w:r>
      <w:r w:rsidRPr="002D29E8">
        <w:rPr>
          <w:rFonts w:ascii="Verdana" w:hAnsi="Verdana"/>
          <w:sz w:val="20"/>
          <w:szCs w:val="20"/>
        </w:rPr>
        <w:t xml:space="preserve"> </w:t>
      </w:r>
    </w:p>
    <w:p w14:paraId="3D2FFCFD" w14:textId="4D6151CB" w:rsidR="006A0E73" w:rsidRPr="002D29E8" w:rsidRDefault="00C83ABB" w:rsidP="00C3620F">
      <w:pPr>
        <w:pStyle w:val="ListParagraph"/>
        <w:numPr>
          <w:ilvl w:val="0"/>
          <w:numId w:val="1"/>
        </w:numPr>
        <w:spacing w:line="276" w:lineRule="auto"/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</w:t>
      </w:r>
      <w:r w:rsidR="006A0E73" w:rsidRPr="002D29E8">
        <w:rPr>
          <w:rFonts w:ascii="Verdana" w:hAnsi="Verdana"/>
          <w:sz w:val="20"/>
          <w:szCs w:val="20"/>
        </w:rPr>
        <w:t xml:space="preserve"> in </w:t>
      </w:r>
      <w:r>
        <w:rPr>
          <w:rFonts w:ascii="Verdana" w:hAnsi="Verdana"/>
          <w:sz w:val="20"/>
          <w:szCs w:val="20"/>
        </w:rPr>
        <w:t>portfolio company management and reporting</w:t>
      </w:r>
    </w:p>
    <w:p w14:paraId="660B9A67" w14:textId="6D510100" w:rsidR="006A0E73" w:rsidRPr="002D29E8" w:rsidRDefault="006A0E73" w:rsidP="00C3620F">
      <w:pPr>
        <w:spacing w:before="240" w:line="276" w:lineRule="auto"/>
        <w:rPr>
          <w:rFonts w:ascii="Verdana" w:hAnsi="Verdana"/>
          <w:sz w:val="20"/>
          <w:szCs w:val="20"/>
        </w:rPr>
      </w:pPr>
      <w:r w:rsidRPr="002D29E8">
        <w:rPr>
          <w:rFonts w:ascii="Verdana" w:hAnsi="Verdana" w:cstheme="minorHAnsi"/>
          <w:b/>
          <w:sz w:val="20"/>
          <w:szCs w:val="20"/>
        </w:rPr>
        <w:t>Internship Duration</w:t>
      </w:r>
      <w:r w:rsidR="00925CBC" w:rsidRPr="002D29E8">
        <w:rPr>
          <w:rFonts w:ascii="Verdana" w:hAnsi="Verdana" w:cstheme="minorHAnsi"/>
          <w:b/>
          <w:sz w:val="20"/>
          <w:szCs w:val="20"/>
        </w:rPr>
        <w:t xml:space="preserve">: </w:t>
      </w:r>
      <w:r w:rsidR="002D29E8" w:rsidRPr="002D29E8">
        <w:rPr>
          <w:rFonts w:ascii="Verdana" w:hAnsi="Verdana"/>
          <w:sz w:val="20"/>
          <w:szCs w:val="20"/>
        </w:rPr>
        <w:t>8 to 12 weeks</w:t>
      </w:r>
    </w:p>
    <w:p w14:paraId="662F3E7A" w14:textId="74F06A4D" w:rsidR="006A0E73" w:rsidRPr="002D29E8" w:rsidRDefault="006A0E73" w:rsidP="00C3620F">
      <w:pPr>
        <w:spacing w:line="276" w:lineRule="auto"/>
        <w:rPr>
          <w:rFonts w:ascii="Verdana" w:hAnsi="Verdana"/>
          <w:sz w:val="20"/>
          <w:szCs w:val="20"/>
        </w:rPr>
      </w:pPr>
      <w:r w:rsidRPr="002D29E8">
        <w:rPr>
          <w:rFonts w:ascii="Verdana" w:hAnsi="Verdana" w:cstheme="minorHAnsi"/>
          <w:b/>
          <w:sz w:val="20"/>
          <w:szCs w:val="20"/>
        </w:rPr>
        <w:t>Internship Type</w:t>
      </w:r>
      <w:r w:rsidR="00925CBC" w:rsidRPr="002D29E8">
        <w:rPr>
          <w:rFonts w:ascii="Verdana" w:hAnsi="Verdana" w:cstheme="minorHAnsi"/>
          <w:b/>
          <w:sz w:val="20"/>
          <w:szCs w:val="20"/>
        </w:rPr>
        <w:t xml:space="preserve">: </w:t>
      </w:r>
      <w:r w:rsidRPr="002D29E8">
        <w:rPr>
          <w:rFonts w:ascii="Verdana" w:hAnsi="Verdana"/>
          <w:sz w:val="20"/>
          <w:szCs w:val="20"/>
        </w:rPr>
        <w:t xml:space="preserve">Unsalaried Full-time or Part-time </w:t>
      </w:r>
      <w:r w:rsidR="00021489" w:rsidRPr="002D29E8">
        <w:rPr>
          <w:rFonts w:ascii="Verdana" w:hAnsi="Verdana"/>
          <w:sz w:val="20"/>
          <w:szCs w:val="20"/>
        </w:rPr>
        <w:t>(</w:t>
      </w:r>
      <w:r w:rsidRPr="002D29E8">
        <w:rPr>
          <w:rFonts w:ascii="Verdana" w:hAnsi="Verdana"/>
          <w:sz w:val="20"/>
          <w:szCs w:val="20"/>
        </w:rPr>
        <w:t>8</w:t>
      </w:r>
      <w:r w:rsidR="00A85E54">
        <w:rPr>
          <w:rFonts w:ascii="Verdana" w:hAnsi="Verdana"/>
          <w:sz w:val="20"/>
          <w:szCs w:val="20"/>
        </w:rPr>
        <w:t>-</w:t>
      </w:r>
      <w:r w:rsidRPr="002D29E8">
        <w:rPr>
          <w:rFonts w:ascii="Verdana" w:hAnsi="Verdana"/>
          <w:sz w:val="20"/>
          <w:szCs w:val="20"/>
        </w:rPr>
        <w:t>h</w:t>
      </w:r>
      <w:r w:rsidR="00A85E54">
        <w:rPr>
          <w:rFonts w:ascii="Verdana" w:hAnsi="Verdana"/>
          <w:sz w:val="20"/>
          <w:szCs w:val="20"/>
        </w:rPr>
        <w:t>ou</w:t>
      </w:r>
      <w:r w:rsidRPr="002D29E8">
        <w:rPr>
          <w:rFonts w:ascii="Verdana" w:hAnsi="Verdana"/>
          <w:sz w:val="20"/>
          <w:szCs w:val="20"/>
        </w:rPr>
        <w:t>rs a day on days committed</w:t>
      </w:r>
      <w:r w:rsidR="00021489" w:rsidRPr="002D29E8">
        <w:rPr>
          <w:rFonts w:ascii="Verdana" w:hAnsi="Verdana"/>
          <w:sz w:val="20"/>
          <w:szCs w:val="20"/>
        </w:rPr>
        <w:t>)</w:t>
      </w:r>
    </w:p>
    <w:p w14:paraId="7FECD688" w14:textId="14A2BBB5" w:rsidR="00166E91" w:rsidRPr="002D29E8" w:rsidRDefault="006A0E73" w:rsidP="00C3620F">
      <w:pPr>
        <w:spacing w:line="276" w:lineRule="auto"/>
        <w:rPr>
          <w:rFonts w:ascii="Verdana" w:hAnsi="Verdana"/>
          <w:sz w:val="20"/>
          <w:szCs w:val="20"/>
        </w:rPr>
      </w:pPr>
      <w:r w:rsidRPr="002D29E8">
        <w:rPr>
          <w:rFonts w:ascii="Verdana" w:hAnsi="Verdana" w:cstheme="minorHAnsi"/>
          <w:b/>
          <w:sz w:val="20"/>
          <w:szCs w:val="20"/>
        </w:rPr>
        <w:t>Locatio</w:t>
      </w:r>
      <w:r w:rsidR="00925CBC" w:rsidRPr="002D29E8">
        <w:rPr>
          <w:rFonts w:ascii="Verdana" w:hAnsi="Verdana" w:cstheme="minorHAnsi"/>
          <w:b/>
          <w:sz w:val="20"/>
          <w:szCs w:val="20"/>
        </w:rPr>
        <w:t xml:space="preserve">n: </w:t>
      </w:r>
      <w:r w:rsidRPr="002D29E8">
        <w:rPr>
          <w:rFonts w:ascii="Verdana" w:hAnsi="Verdana"/>
          <w:sz w:val="20"/>
          <w:szCs w:val="20"/>
        </w:rPr>
        <w:t>Korea (Remote work)</w:t>
      </w:r>
    </w:p>
    <w:p w14:paraId="4207BA10" w14:textId="0E1CB959" w:rsidR="000A6AA9" w:rsidRPr="002D29E8" w:rsidRDefault="000A6AA9" w:rsidP="00C3620F">
      <w:pPr>
        <w:spacing w:line="276" w:lineRule="auto"/>
        <w:rPr>
          <w:rFonts w:ascii="Verdana" w:hAnsi="Verdana"/>
          <w:sz w:val="20"/>
          <w:szCs w:val="20"/>
        </w:rPr>
      </w:pPr>
      <w:r w:rsidRPr="002D29E8">
        <w:rPr>
          <w:rFonts w:ascii="Verdana" w:hAnsi="Verdana" w:cstheme="minorHAnsi"/>
          <w:b/>
          <w:sz w:val="20"/>
          <w:szCs w:val="20"/>
        </w:rPr>
        <w:t>Hiring:</w:t>
      </w:r>
      <w:r w:rsidRPr="002D29E8">
        <w:rPr>
          <w:rFonts w:ascii="Verdana" w:hAnsi="Verdana"/>
          <w:sz w:val="20"/>
          <w:szCs w:val="20"/>
        </w:rPr>
        <w:t xml:space="preserve"> 1-</w:t>
      </w:r>
      <w:r w:rsidR="00D26358">
        <w:rPr>
          <w:rFonts w:ascii="Verdana" w:hAnsi="Verdana"/>
          <w:sz w:val="20"/>
          <w:szCs w:val="20"/>
        </w:rPr>
        <w:t>3</w:t>
      </w:r>
      <w:r w:rsidRPr="002D29E8">
        <w:rPr>
          <w:rFonts w:ascii="Verdana" w:hAnsi="Verdana"/>
          <w:sz w:val="20"/>
          <w:szCs w:val="20"/>
        </w:rPr>
        <w:t xml:space="preserve"> interns</w:t>
      </w:r>
    </w:p>
    <w:sectPr w:rsidR="000A6AA9" w:rsidRPr="002D29E8" w:rsidSect="00B91AE9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DB10" w14:textId="77777777" w:rsidR="001977AF" w:rsidRDefault="001977AF" w:rsidP="00BA306B">
      <w:pPr>
        <w:spacing w:after="0" w:line="240" w:lineRule="auto"/>
      </w:pPr>
      <w:r>
        <w:separator/>
      </w:r>
    </w:p>
  </w:endnote>
  <w:endnote w:type="continuationSeparator" w:id="0">
    <w:p w14:paraId="6C281E30" w14:textId="77777777" w:rsidR="001977AF" w:rsidRDefault="001977AF" w:rsidP="00B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F56C" w14:textId="77777777" w:rsidR="001977AF" w:rsidRDefault="001977AF" w:rsidP="00BA306B">
      <w:pPr>
        <w:spacing w:after="0" w:line="240" w:lineRule="auto"/>
      </w:pPr>
      <w:r>
        <w:separator/>
      </w:r>
    </w:p>
  </w:footnote>
  <w:footnote w:type="continuationSeparator" w:id="0">
    <w:p w14:paraId="7DB6E7FD" w14:textId="77777777" w:rsidR="001977AF" w:rsidRDefault="001977AF" w:rsidP="00BA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0F6C"/>
    <w:multiLevelType w:val="hybridMultilevel"/>
    <w:tmpl w:val="02B2BCF0"/>
    <w:lvl w:ilvl="0" w:tplc="CBC041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767CC"/>
    <w:multiLevelType w:val="hybridMultilevel"/>
    <w:tmpl w:val="92B82962"/>
    <w:lvl w:ilvl="0" w:tplc="CBC041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73"/>
    <w:rsid w:val="00021489"/>
    <w:rsid w:val="000A6AA9"/>
    <w:rsid w:val="000F3E63"/>
    <w:rsid w:val="00166E91"/>
    <w:rsid w:val="001977AF"/>
    <w:rsid w:val="00241CF2"/>
    <w:rsid w:val="002D29E8"/>
    <w:rsid w:val="00367C8C"/>
    <w:rsid w:val="00421330"/>
    <w:rsid w:val="005913D3"/>
    <w:rsid w:val="00596797"/>
    <w:rsid w:val="005E011F"/>
    <w:rsid w:val="0067126F"/>
    <w:rsid w:val="00683CC4"/>
    <w:rsid w:val="006A0E5B"/>
    <w:rsid w:val="006A0E73"/>
    <w:rsid w:val="00780F87"/>
    <w:rsid w:val="00875E90"/>
    <w:rsid w:val="008B0780"/>
    <w:rsid w:val="00925CBC"/>
    <w:rsid w:val="00996E9A"/>
    <w:rsid w:val="00A463D7"/>
    <w:rsid w:val="00A85E54"/>
    <w:rsid w:val="00B91AE9"/>
    <w:rsid w:val="00BA306B"/>
    <w:rsid w:val="00C3620F"/>
    <w:rsid w:val="00C83ABB"/>
    <w:rsid w:val="00D26358"/>
    <w:rsid w:val="00D524E7"/>
    <w:rsid w:val="00DD4D87"/>
    <w:rsid w:val="00E23A71"/>
    <w:rsid w:val="00E5282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3420"/>
  <w15:chartTrackingRefBased/>
  <w15:docId w15:val="{795F5BEE-B0EB-470D-8DCB-591F4FC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E73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06B"/>
  </w:style>
  <w:style w:type="paragraph" w:styleId="Footer">
    <w:name w:val="footer"/>
    <w:basedOn w:val="Normal"/>
    <w:link w:val="FooterChar"/>
    <w:uiPriority w:val="99"/>
    <w:unhideWhenUsed/>
    <w:rsid w:val="00B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06B"/>
  </w:style>
  <w:style w:type="character" w:customStyle="1" w:styleId="il">
    <w:name w:val="il"/>
    <w:basedOn w:val="DefaultParagraphFont"/>
    <w:rsid w:val="0068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부경 김</dc:creator>
  <cp:keywords/>
  <dc:description/>
  <cp:lastModifiedBy>kee hwan kwon</cp:lastModifiedBy>
  <cp:revision>2</cp:revision>
  <dcterms:created xsi:type="dcterms:W3CDTF">2021-03-10T08:22:00Z</dcterms:created>
  <dcterms:modified xsi:type="dcterms:W3CDTF">2021-03-10T08:22:00Z</dcterms:modified>
</cp:coreProperties>
</file>